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BAAD" w14:textId="12495B9F" w:rsidR="00D3349E" w:rsidRDefault="00D3349E" w:rsidP="00763D67">
      <w:pPr>
        <w:jc w:val="center"/>
        <w:rPr>
          <w:sz w:val="28"/>
          <w:szCs w:val="28"/>
        </w:rPr>
      </w:pPr>
      <w:r>
        <w:rPr>
          <w:sz w:val="28"/>
          <w:szCs w:val="28"/>
        </w:rPr>
        <w:t>Station 1: Feuerliebende Käfer</w:t>
      </w:r>
    </w:p>
    <w:p w14:paraId="234C96FD" w14:textId="77777777" w:rsidR="00763D67" w:rsidRPr="00763D67" w:rsidRDefault="00763D67" w:rsidP="00763D67">
      <w:pPr>
        <w:jc w:val="center"/>
        <w:rPr>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66"/>
      </w:tblGrid>
      <w:tr w:rsidR="00D3349E" w14:paraId="32658A99" w14:textId="77777777" w:rsidTr="00312B6E">
        <w:tc>
          <w:tcPr>
            <w:tcW w:w="6096" w:type="dxa"/>
          </w:tcPr>
          <w:p w14:paraId="00C5B313" w14:textId="77777777" w:rsidR="00D3349E" w:rsidRPr="00D3349E" w:rsidRDefault="00D3349E" w:rsidP="00312B6E">
            <w:pPr>
              <w:jc w:val="both"/>
              <w:rPr>
                <w:sz w:val="24"/>
                <w:szCs w:val="24"/>
              </w:rPr>
            </w:pPr>
            <w:r w:rsidRPr="00D3349E">
              <w:rPr>
                <w:sz w:val="24"/>
                <w:szCs w:val="24"/>
              </w:rPr>
              <w:t xml:space="preserve">Insgesamt existieren in etwa vierzig Insektenarten, die gezielt Feuer aufsuchen. Diese Insekten, zumeist Käfer, zeigen somit ein Verhalten, das gegenteilig zu dem anderer Waldbewohner ist. Diese fliehen eher vor Waldbränden, als sie gezielt aufzusuchen. </w:t>
            </w:r>
          </w:p>
          <w:p w14:paraId="3B738225" w14:textId="77777777" w:rsidR="00D3349E" w:rsidRPr="00D3349E" w:rsidRDefault="00D3349E" w:rsidP="00312B6E">
            <w:pPr>
              <w:jc w:val="both"/>
              <w:rPr>
                <w:sz w:val="24"/>
                <w:szCs w:val="24"/>
              </w:rPr>
            </w:pPr>
            <w:r w:rsidRPr="00D3349E">
              <w:rPr>
                <w:sz w:val="24"/>
                <w:szCs w:val="24"/>
              </w:rPr>
              <w:t>Aber warum zeigen die Käfer ein solch komisches Verhalten?</w:t>
            </w:r>
          </w:p>
          <w:p w14:paraId="407FDEA4" w14:textId="77777777" w:rsidR="00D3349E" w:rsidRDefault="00D3349E" w:rsidP="00312B6E">
            <w:pPr>
              <w:jc w:val="both"/>
              <w:rPr>
                <w:sz w:val="24"/>
                <w:szCs w:val="24"/>
              </w:rPr>
            </w:pPr>
          </w:p>
        </w:tc>
        <w:tc>
          <w:tcPr>
            <w:tcW w:w="2966" w:type="dxa"/>
          </w:tcPr>
          <w:p w14:paraId="048D0E2D" w14:textId="7751A738" w:rsidR="00D3349E" w:rsidRDefault="00312B6E" w:rsidP="00312B6E">
            <w:pPr>
              <w:jc w:val="both"/>
              <w:rPr>
                <w:sz w:val="24"/>
                <w:szCs w:val="24"/>
              </w:rPr>
            </w:pPr>
            <w:r>
              <w:rPr>
                <w:noProof/>
                <w:sz w:val="24"/>
                <w:szCs w:val="24"/>
              </w:rPr>
              <w:drawing>
                <wp:anchor distT="0" distB="0" distL="114300" distR="114300" simplePos="0" relativeHeight="251659264" behindDoc="0" locked="0" layoutInCell="1" allowOverlap="1" wp14:anchorId="7346872F" wp14:editId="06285BDA">
                  <wp:simplePos x="0" y="0"/>
                  <wp:positionH relativeFrom="column">
                    <wp:posOffset>1163169</wp:posOffset>
                  </wp:positionH>
                  <wp:positionV relativeFrom="paragraph">
                    <wp:posOffset>566813</wp:posOffset>
                  </wp:positionV>
                  <wp:extent cx="596722" cy="829569"/>
                  <wp:effectExtent l="0" t="0" r="0"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426" cy="836108"/>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58240" behindDoc="0" locked="0" layoutInCell="1" allowOverlap="1" wp14:anchorId="1605203D" wp14:editId="49B42D6C">
                  <wp:simplePos x="0" y="0"/>
                  <wp:positionH relativeFrom="column">
                    <wp:posOffset>88266</wp:posOffset>
                  </wp:positionH>
                  <wp:positionV relativeFrom="paragraph">
                    <wp:posOffset>-330325</wp:posOffset>
                  </wp:positionV>
                  <wp:extent cx="1369758" cy="102731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9758" cy="1027319"/>
                          </a:xfrm>
                          <a:prstGeom prst="rect">
                            <a:avLst/>
                          </a:prstGeom>
                        </pic:spPr>
                      </pic:pic>
                    </a:graphicData>
                  </a:graphic>
                </wp:anchor>
              </w:drawing>
            </w:r>
          </w:p>
        </w:tc>
      </w:tr>
    </w:tbl>
    <w:p w14:paraId="06104477" w14:textId="2CA99327" w:rsidR="00312B6E" w:rsidRDefault="00763D67" w:rsidP="00312B6E">
      <w:pPr>
        <w:rPr>
          <w:sz w:val="24"/>
          <w:szCs w:val="24"/>
        </w:rPr>
      </w:pPr>
      <w:r>
        <w:rPr>
          <w:noProof/>
          <w:sz w:val="24"/>
          <w:szCs w:val="24"/>
        </w:rPr>
        <w:drawing>
          <wp:anchor distT="0" distB="0" distL="114300" distR="114300" simplePos="0" relativeHeight="251660288" behindDoc="1" locked="0" layoutInCell="1" allowOverlap="1" wp14:anchorId="1F6D7D7D" wp14:editId="6CD37A86">
            <wp:simplePos x="0" y="0"/>
            <wp:positionH relativeFrom="column">
              <wp:posOffset>1905</wp:posOffset>
            </wp:positionH>
            <wp:positionV relativeFrom="paragraph">
              <wp:posOffset>93980</wp:posOffset>
            </wp:positionV>
            <wp:extent cx="470481" cy="881999"/>
            <wp:effectExtent l="0" t="0" r="6350" b="0"/>
            <wp:wrapTight wrapText="bothSides">
              <wp:wrapPolygon edited="0">
                <wp:start x="0" y="0"/>
                <wp:lineTo x="0" y="21009"/>
                <wp:lineTo x="21016" y="21009"/>
                <wp:lineTo x="2101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8" cstate="print">
                      <a:extLst>
                        <a:ext uri="{28A0092B-C50C-407E-A947-70E740481C1C}">
                          <a14:useLocalDpi xmlns:a14="http://schemas.microsoft.com/office/drawing/2010/main" val="0"/>
                        </a:ext>
                      </a:extLst>
                    </a:blip>
                    <a:srcRect l="24141" r="22517"/>
                    <a:stretch/>
                  </pic:blipFill>
                  <pic:spPr bwMode="auto">
                    <a:xfrm>
                      <a:off x="0" y="0"/>
                      <a:ext cx="470481" cy="881999"/>
                    </a:xfrm>
                    <a:prstGeom prst="rect">
                      <a:avLst/>
                    </a:prstGeom>
                    <a:ln>
                      <a:noFill/>
                    </a:ln>
                    <a:extLst>
                      <a:ext uri="{53640926-AAD7-44D8-BBD7-CCE9431645EC}">
                        <a14:shadowObscured xmlns:a14="http://schemas.microsoft.com/office/drawing/2010/main"/>
                      </a:ext>
                    </a:extLst>
                  </pic:spPr>
                </pic:pic>
              </a:graphicData>
            </a:graphic>
          </wp:anchor>
        </w:drawing>
      </w:r>
    </w:p>
    <w:p w14:paraId="7A2ECF82" w14:textId="1E768FDA" w:rsidR="00312B6E" w:rsidRDefault="00312B6E" w:rsidP="00312B6E">
      <w:pPr>
        <w:rPr>
          <w:b/>
          <w:bCs/>
          <w:sz w:val="24"/>
          <w:szCs w:val="24"/>
        </w:rPr>
      </w:pPr>
      <w:r w:rsidRPr="00312B6E">
        <w:rPr>
          <w:b/>
          <w:bCs/>
          <w:sz w:val="24"/>
          <w:szCs w:val="24"/>
        </w:rPr>
        <w:t>Was vermutest du? Warum suchen die feuerliebenden Käfer gezielt Waldbrände auf?</w:t>
      </w:r>
      <w:r>
        <w:rPr>
          <w:b/>
          <w:bCs/>
          <w:sz w:val="24"/>
          <w:szCs w:val="24"/>
        </w:rPr>
        <w:t xml:space="preserve"> Kreuze die richtige Alternative an!</w:t>
      </w:r>
    </w:p>
    <w:p w14:paraId="4579702B" w14:textId="77777777" w:rsidR="00763D67" w:rsidRPr="00312B6E" w:rsidRDefault="00763D67" w:rsidP="00312B6E">
      <w:pPr>
        <w:rPr>
          <w:b/>
          <w:bCs/>
          <w:sz w:val="24"/>
          <w:szCs w:val="24"/>
        </w:rPr>
      </w:pPr>
    </w:p>
    <w:tbl>
      <w:tblPr>
        <w:tblStyle w:val="Tabellenraster"/>
        <w:tblW w:w="0" w:type="auto"/>
        <w:tblLook w:val="04A0" w:firstRow="1" w:lastRow="0" w:firstColumn="1" w:lastColumn="0" w:noHBand="0" w:noVBand="1"/>
      </w:tblPr>
      <w:tblGrid>
        <w:gridCol w:w="562"/>
        <w:gridCol w:w="8500"/>
      </w:tblGrid>
      <w:tr w:rsidR="00312B6E" w14:paraId="5486899A" w14:textId="77777777" w:rsidTr="00312B6E">
        <w:tc>
          <w:tcPr>
            <w:tcW w:w="562" w:type="dxa"/>
          </w:tcPr>
          <w:p w14:paraId="73561509" w14:textId="77777777" w:rsidR="00312B6E" w:rsidRDefault="00312B6E" w:rsidP="00312B6E">
            <w:pPr>
              <w:rPr>
                <w:sz w:val="24"/>
                <w:szCs w:val="24"/>
              </w:rPr>
            </w:pPr>
          </w:p>
        </w:tc>
        <w:tc>
          <w:tcPr>
            <w:tcW w:w="8500" w:type="dxa"/>
          </w:tcPr>
          <w:p w14:paraId="4871E5B7" w14:textId="30D8A97C" w:rsidR="00312B6E" w:rsidRDefault="00312B6E" w:rsidP="00312B6E">
            <w:pPr>
              <w:rPr>
                <w:sz w:val="24"/>
                <w:szCs w:val="24"/>
              </w:rPr>
            </w:pPr>
            <w:r w:rsidRPr="00312B6E">
              <w:rPr>
                <w:sz w:val="24"/>
                <w:szCs w:val="24"/>
              </w:rPr>
              <w:t>Der Grund liegt in der Fortpflanzung. Die Überreste von Waldbränden sind der optimale Ort für ihren Nachwuchs.</w:t>
            </w:r>
          </w:p>
        </w:tc>
      </w:tr>
      <w:tr w:rsidR="00312B6E" w14:paraId="5F5811AD" w14:textId="77777777" w:rsidTr="00312B6E">
        <w:tc>
          <w:tcPr>
            <w:tcW w:w="562" w:type="dxa"/>
          </w:tcPr>
          <w:p w14:paraId="4859B6E8" w14:textId="77777777" w:rsidR="00312B6E" w:rsidRDefault="00312B6E" w:rsidP="00312B6E">
            <w:pPr>
              <w:rPr>
                <w:sz w:val="24"/>
                <w:szCs w:val="24"/>
              </w:rPr>
            </w:pPr>
          </w:p>
        </w:tc>
        <w:tc>
          <w:tcPr>
            <w:tcW w:w="8500" w:type="dxa"/>
          </w:tcPr>
          <w:p w14:paraId="34CAB394" w14:textId="792CC7CE" w:rsidR="00312B6E" w:rsidRDefault="00312B6E" w:rsidP="00312B6E">
            <w:pPr>
              <w:rPr>
                <w:sz w:val="24"/>
                <w:szCs w:val="24"/>
              </w:rPr>
            </w:pPr>
            <w:r w:rsidRPr="00312B6E">
              <w:rPr>
                <w:sz w:val="24"/>
                <w:szCs w:val="24"/>
              </w:rPr>
              <w:t xml:space="preserve">Bei einem Waldbrand fliehen alle Fressfeinde der Käfer und es dauert, bis diese wieder nach dem Brand zurückkehren. Die Käfer nutzen dies, um ungestört die übrigen Pflanzen zu verspeisen. </w:t>
            </w:r>
          </w:p>
        </w:tc>
      </w:tr>
      <w:tr w:rsidR="00312B6E" w14:paraId="534874F1" w14:textId="77777777" w:rsidTr="00312B6E">
        <w:tc>
          <w:tcPr>
            <w:tcW w:w="562" w:type="dxa"/>
          </w:tcPr>
          <w:p w14:paraId="50AAFCAD" w14:textId="77777777" w:rsidR="00312B6E" w:rsidRDefault="00312B6E" w:rsidP="00312B6E">
            <w:pPr>
              <w:rPr>
                <w:sz w:val="24"/>
                <w:szCs w:val="24"/>
              </w:rPr>
            </w:pPr>
          </w:p>
        </w:tc>
        <w:tc>
          <w:tcPr>
            <w:tcW w:w="8500" w:type="dxa"/>
          </w:tcPr>
          <w:p w14:paraId="4AAC6917" w14:textId="6CA75B5D" w:rsidR="00312B6E" w:rsidRDefault="00312B6E" w:rsidP="00312B6E">
            <w:pPr>
              <w:rPr>
                <w:sz w:val="24"/>
                <w:szCs w:val="24"/>
              </w:rPr>
            </w:pPr>
            <w:r w:rsidRPr="00312B6E">
              <w:rPr>
                <w:sz w:val="24"/>
                <w:szCs w:val="24"/>
              </w:rPr>
              <w:t>Die Käfer mögen es gerne sehr warm!</w:t>
            </w:r>
          </w:p>
        </w:tc>
      </w:tr>
    </w:tbl>
    <w:p w14:paraId="45FA3162" w14:textId="5F989E03" w:rsidR="00312B6E" w:rsidRDefault="00312B6E">
      <w:pPr>
        <w:rPr>
          <w:sz w:val="24"/>
          <w:szCs w:val="24"/>
        </w:rPr>
      </w:pPr>
    </w:p>
    <w:p w14:paraId="7CF2D22C" w14:textId="63D706D0" w:rsidR="00312B6E" w:rsidRDefault="00312B6E">
      <w:pPr>
        <w:rPr>
          <w:b/>
          <w:bCs/>
          <w:sz w:val="24"/>
          <w:szCs w:val="24"/>
        </w:rPr>
      </w:pPr>
      <w:r w:rsidRPr="00312B6E">
        <w:rPr>
          <w:b/>
          <w:bCs/>
          <w:sz w:val="24"/>
          <w:szCs w:val="24"/>
        </w:rPr>
        <w:t>Steckbrief: Der schwarze Kiefernprachtkäfer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55"/>
      </w:tblGrid>
      <w:tr w:rsidR="00312B6E" w14:paraId="6A07AC1C" w14:textId="77777777" w:rsidTr="00763D67">
        <w:tc>
          <w:tcPr>
            <w:tcW w:w="5807" w:type="dxa"/>
          </w:tcPr>
          <w:p w14:paraId="2FA92424" w14:textId="77777777" w:rsidR="00312B6E" w:rsidRPr="00312B6E" w:rsidRDefault="00312B6E" w:rsidP="00312B6E">
            <w:pPr>
              <w:rPr>
                <w:b/>
                <w:bCs/>
                <w:sz w:val="24"/>
                <w:szCs w:val="24"/>
              </w:rPr>
            </w:pPr>
            <w:r w:rsidRPr="00312B6E">
              <w:rPr>
                <w:b/>
                <w:bCs/>
                <w:sz w:val="24"/>
                <w:szCs w:val="24"/>
              </w:rPr>
              <w:t xml:space="preserve">Wissenschaftlicher Name: </w:t>
            </w:r>
            <w:r w:rsidRPr="00312B6E">
              <w:rPr>
                <w:sz w:val="24"/>
                <w:szCs w:val="24"/>
              </w:rPr>
              <w:t>Melanophila acuminata</w:t>
            </w:r>
          </w:p>
          <w:p w14:paraId="06DC44E9" w14:textId="77777777" w:rsidR="00312B6E" w:rsidRPr="00312B6E" w:rsidRDefault="00312B6E" w:rsidP="00312B6E">
            <w:pPr>
              <w:rPr>
                <w:b/>
                <w:bCs/>
                <w:sz w:val="24"/>
                <w:szCs w:val="24"/>
              </w:rPr>
            </w:pPr>
            <w:r w:rsidRPr="00312B6E">
              <w:rPr>
                <w:b/>
                <w:bCs/>
                <w:sz w:val="24"/>
                <w:szCs w:val="24"/>
              </w:rPr>
              <w:t xml:space="preserve">Familie: </w:t>
            </w:r>
            <w:r w:rsidRPr="00312B6E">
              <w:rPr>
                <w:sz w:val="24"/>
                <w:szCs w:val="24"/>
              </w:rPr>
              <w:t>Prachtkäfer (</w:t>
            </w:r>
            <w:proofErr w:type="spellStart"/>
            <w:r w:rsidRPr="00312B6E">
              <w:rPr>
                <w:sz w:val="24"/>
                <w:szCs w:val="24"/>
              </w:rPr>
              <w:t>Buprestidae</w:t>
            </w:r>
            <w:proofErr w:type="spellEnd"/>
            <w:r w:rsidRPr="00312B6E">
              <w:rPr>
                <w:sz w:val="24"/>
                <w:szCs w:val="24"/>
              </w:rPr>
              <w:t>)</w:t>
            </w:r>
          </w:p>
          <w:p w14:paraId="4B4C4B3A" w14:textId="77777777" w:rsidR="00312B6E" w:rsidRPr="00312B6E" w:rsidRDefault="00312B6E" w:rsidP="00312B6E">
            <w:pPr>
              <w:rPr>
                <w:b/>
                <w:bCs/>
                <w:sz w:val="24"/>
                <w:szCs w:val="24"/>
              </w:rPr>
            </w:pPr>
            <w:r w:rsidRPr="00312B6E">
              <w:rPr>
                <w:b/>
                <w:bCs/>
                <w:sz w:val="24"/>
                <w:szCs w:val="24"/>
              </w:rPr>
              <w:t xml:space="preserve">Gattung: </w:t>
            </w:r>
            <w:r w:rsidRPr="00312B6E">
              <w:rPr>
                <w:sz w:val="24"/>
                <w:szCs w:val="24"/>
              </w:rPr>
              <w:t>Melanophila</w:t>
            </w:r>
          </w:p>
          <w:p w14:paraId="48EECCD5" w14:textId="77777777" w:rsidR="00312B6E" w:rsidRPr="00312B6E" w:rsidRDefault="00312B6E" w:rsidP="00312B6E">
            <w:pPr>
              <w:rPr>
                <w:b/>
                <w:bCs/>
                <w:sz w:val="24"/>
                <w:szCs w:val="24"/>
              </w:rPr>
            </w:pPr>
            <w:r w:rsidRPr="00312B6E">
              <w:rPr>
                <w:b/>
                <w:bCs/>
                <w:sz w:val="24"/>
                <w:szCs w:val="24"/>
              </w:rPr>
              <w:t xml:space="preserve">Verbreitung: </w:t>
            </w:r>
            <w:r w:rsidRPr="00312B6E">
              <w:rPr>
                <w:sz w:val="24"/>
                <w:szCs w:val="24"/>
              </w:rPr>
              <w:t>Weltweit mit Ausnahme von Australien</w:t>
            </w:r>
          </w:p>
          <w:p w14:paraId="0C34DC47" w14:textId="77777777" w:rsidR="00312B6E" w:rsidRPr="00312B6E" w:rsidRDefault="00312B6E" w:rsidP="00312B6E">
            <w:pPr>
              <w:rPr>
                <w:b/>
                <w:bCs/>
                <w:sz w:val="24"/>
                <w:szCs w:val="24"/>
              </w:rPr>
            </w:pPr>
            <w:r w:rsidRPr="00312B6E">
              <w:rPr>
                <w:b/>
                <w:bCs/>
                <w:sz w:val="24"/>
                <w:szCs w:val="24"/>
              </w:rPr>
              <w:t xml:space="preserve">Besonderheit: </w:t>
            </w:r>
            <w:proofErr w:type="spellStart"/>
            <w:r w:rsidRPr="00312B6E">
              <w:rPr>
                <w:sz w:val="24"/>
                <w:szCs w:val="24"/>
              </w:rPr>
              <w:t>pyrophiles</w:t>
            </w:r>
            <w:proofErr w:type="spellEnd"/>
            <w:r w:rsidRPr="00312B6E">
              <w:rPr>
                <w:sz w:val="24"/>
                <w:szCs w:val="24"/>
              </w:rPr>
              <w:t xml:space="preserve"> (dt.: feuerliebendes) Verhalten</w:t>
            </w:r>
          </w:p>
          <w:p w14:paraId="62F33B8D" w14:textId="77777777" w:rsidR="00312B6E" w:rsidRPr="00312B6E" w:rsidRDefault="00312B6E" w:rsidP="00312B6E">
            <w:pPr>
              <w:rPr>
                <w:b/>
                <w:bCs/>
                <w:sz w:val="24"/>
                <w:szCs w:val="24"/>
              </w:rPr>
            </w:pPr>
            <w:r w:rsidRPr="00312B6E">
              <w:rPr>
                <w:b/>
                <w:bCs/>
                <w:sz w:val="24"/>
                <w:szCs w:val="24"/>
              </w:rPr>
              <w:t xml:space="preserve">Größe: </w:t>
            </w:r>
            <w:r w:rsidRPr="00312B6E">
              <w:rPr>
                <w:sz w:val="24"/>
                <w:szCs w:val="24"/>
              </w:rPr>
              <w:t>8 - 11 mm</w:t>
            </w:r>
          </w:p>
          <w:p w14:paraId="32527F29" w14:textId="28406D10" w:rsidR="00312B6E" w:rsidRPr="00312B6E" w:rsidRDefault="00312B6E" w:rsidP="00312B6E">
            <w:pPr>
              <w:rPr>
                <w:sz w:val="24"/>
                <w:szCs w:val="24"/>
              </w:rPr>
            </w:pPr>
            <w:r w:rsidRPr="00312B6E">
              <w:rPr>
                <w:sz w:val="24"/>
                <w:szCs w:val="24"/>
              </w:rPr>
              <w:t>Die Gattung Melanophila umfasst zwölf Arten, wovon alle pyrophil sind. Die Käfer suchen aktiv Waldbrände auf, um sich dort zu paaren und Eier abzulegen. Die Larven entwickeln sich dann in dem verbrannten Holz.</w:t>
            </w:r>
          </w:p>
        </w:tc>
        <w:tc>
          <w:tcPr>
            <w:tcW w:w="3255" w:type="dxa"/>
          </w:tcPr>
          <w:p w14:paraId="191173A4" w14:textId="37713070" w:rsidR="00A77D42" w:rsidRDefault="00A77D42">
            <w:pPr>
              <w:rPr>
                <w:b/>
                <w:bCs/>
                <w:sz w:val="24"/>
                <w:szCs w:val="24"/>
              </w:rPr>
            </w:pPr>
            <w:r>
              <w:rPr>
                <w:b/>
                <w:bCs/>
                <w:noProof/>
                <w:sz w:val="24"/>
                <w:szCs w:val="24"/>
              </w:rPr>
              <w:drawing>
                <wp:anchor distT="0" distB="0" distL="114300" distR="114300" simplePos="0" relativeHeight="251661312" behindDoc="0" locked="0" layoutInCell="1" allowOverlap="1" wp14:anchorId="7C92BD7C" wp14:editId="4B9BFB0D">
                  <wp:simplePos x="0" y="0"/>
                  <wp:positionH relativeFrom="column">
                    <wp:posOffset>9406</wp:posOffset>
                  </wp:positionH>
                  <wp:positionV relativeFrom="paragraph">
                    <wp:posOffset>179070</wp:posOffset>
                  </wp:positionV>
                  <wp:extent cx="1935826" cy="1212850"/>
                  <wp:effectExtent l="0" t="0" r="7620" b="6350"/>
                  <wp:wrapNone/>
                  <wp:docPr id="4" name="Grafik 4" descr="Ein Bild, das Ins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Insek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5826" cy="1212850"/>
                          </a:xfrm>
                          <a:prstGeom prst="rect">
                            <a:avLst/>
                          </a:prstGeom>
                        </pic:spPr>
                      </pic:pic>
                    </a:graphicData>
                  </a:graphic>
                  <wp14:sizeRelH relativeFrom="margin">
                    <wp14:pctWidth>0</wp14:pctWidth>
                  </wp14:sizeRelH>
                  <wp14:sizeRelV relativeFrom="margin">
                    <wp14:pctHeight>0</wp14:pctHeight>
                  </wp14:sizeRelV>
                </wp:anchor>
              </w:drawing>
            </w:r>
          </w:p>
          <w:p w14:paraId="5E538588" w14:textId="1BC032FF" w:rsidR="00A77D42" w:rsidRDefault="00A77D42">
            <w:pPr>
              <w:rPr>
                <w:b/>
                <w:bCs/>
                <w:sz w:val="24"/>
                <w:szCs w:val="24"/>
              </w:rPr>
            </w:pPr>
          </w:p>
          <w:p w14:paraId="5D2FCAB3" w14:textId="19851DCC" w:rsidR="00A77D42" w:rsidRDefault="00A77D42">
            <w:pPr>
              <w:rPr>
                <w:b/>
                <w:bCs/>
                <w:sz w:val="24"/>
                <w:szCs w:val="24"/>
              </w:rPr>
            </w:pPr>
          </w:p>
          <w:p w14:paraId="0445D225" w14:textId="36789040" w:rsidR="00A77D42" w:rsidRDefault="00A77D42">
            <w:pPr>
              <w:rPr>
                <w:b/>
                <w:bCs/>
                <w:sz w:val="24"/>
                <w:szCs w:val="24"/>
              </w:rPr>
            </w:pPr>
          </w:p>
          <w:p w14:paraId="39DADCD0" w14:textId="22A2E503" w:rsidR="00A77D42" w:rsidRDefault="00A77D42">
            <w:pPr>
              <w:rPr>
                <w:b/>
                <w:bCs/>
                <w:sz w:val="24"/>
                <w:szCs w:val="24"/>
              </w:rPr>
            </w:pPr>
          </w:p>
          <w:p w14:paraId="26BEFDBD" w14:textId="77777777" w:rsidR="00A77D42" w:rsidRDefault="00A77D42">
            <w:pPr>
              <w:rPr>
                <w:b/>
                <w:bCs/>
                <w:sz w:val="24"/>
                <w:szCs w:val="24"/>
              </w:rPr>
            </w:pPr>
          </w:p>
          <w:p w14:paraId="45468214" w14:textId="7FBDCE3C" w:rsidR="00A77D42" w:rsidRDefault="00A77D42">
            <w:pPr>
              <w:rPr>
                <w:b/>
                <w:bCs/>
                <w:sz w:val="24"/>
                <w:szCs w:val="24"/>
              </w:rPr>
            </w:pPr>
          </w:p>
          <w:p w14:paraId="38E075AE" w14:textId="2A6D4311" w:rsidR="00A77D42" w:rsidRDefault="00A77D42">
            <w:pPr>
              <w:rPr>
                <w:b/>
                <w:bCs/>
                <w:sz w:val="24"/>
                <w:szCs w:val="24"/>
              </w:rPr>
            </w:pPr>
          </w:p>
          <w:p w14:paraId="21E50543" w14:textId="2CF0C2F8" w:rsidR="00312B6E" w:rsidRPr="00A77D42" w:rsidRDefault="00A77D42" w:rsidP="00A77D42">
            <w:pPr>
              <w:jc w:val="center"/>
              <w:rPr>
                <w:sz w:val="24"/>
                <w:szCs w:val="24"/>
              </w:rPr>
            </w:pPr>
            <w:r w:rsidRPr="00A77D42">
              <w:rPr>
                <w:sz w:val="16"/>
                <w:szCs w:val="16"/>
              </w:rPr>
              <w:t>Der schwarze Kiefernprachtkäfer Melanophila acuminata (© AG Prof. Schmitz, http://idw-online.de/pages/de/image73525)</w:t>
            </w:r>
          </w:p>
        </w:tc>
      </w:tr>
    </w:tbl>
    <w:p w14:paraId="1E804FCB" w14:textId="0FF3E0B8" w:rsidR="00763D67" w:rsidRPr="00763D67" w:rsidRDefault="00763D67" w:rsidP="00312B6E">
      <w:pPr>
        <w:rPr>
          <w:b/>
          <w:bCs/>
          <w:sz w:val="24"/>
          <w:szCs w:val="24"/>
        </w:rPr>
      </w:pPr>
      <w:r>
        <w:rPr>
          <w:noProof/>
          <w:sz w:val="24"/>
          <w:szCs w:val="24"/>
        </w:rPr>
        <w:drawing>
          <wp:anchor distT="0" distB="0" distL="114300" distR="114300" simplePos="0" relativeHeight="251663360" behindDoc="1" locked="0" layoutInCell="1" allowOverlap="1" wp14:anchorId="66644F7C" wp14:editId="44FC98BB">
            <wp:simplePos x="0" y="0"/>
            <wp:positionH relativeFrom="column">
              <wp:posOffset>4445</wp:posOffset>
            </wp:positionH>
            <wp:positionV relativeFrom="paragraph">
              <wp:posOffset>74762</wp:posOffset>
            </wp:positionV>
            <wp:extent cx="469900" cy="881380"/>
            <wp:effectExtent l="0" t="0" r="6350" b="0"/>
            <wp:wrapTight wrapText="bothSides">
              <wp:wrapPolygon edited="0">
                <wp:start x="0" y="0"/>
                <wp:lineTo x="0" y="21009"/>
                <wp:lineTo x="21016" y="21009"/>
                <wp:lineTo x="2101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8" cstate="print">
                      <a:extLst>
                        <a:ext uri="{28A0092B-C50C-407E-A947-70E740481C1C}">
                          <a14:useLocalDpi xmlns:a14="http://schemas.microsoft.com/office/drawing/2010/main" val="0"/>
                        </a:ext>
                      </a:extLst>
                    </a:blip>
                    <a:srcRect l="24141" r="22517"/>
                    <a:stretch/>
                  </pic:blipFill>
                  <pic:spPr bwMode="auto">
                    <a:xfrm>
                      <a:off x="0" y="0"/>
                      <a:ext cx="469900" cy="881380"/>
                    </a:xfrm>
                    <a:prstGeom prst="rect">
                      <a:avLst/>
                    </a:prstGeom>
                    <a:ln>
                      <a:noFill/>
                    </a:ln>
                    <a:extLst>
                      <a:ext uri="{53640926-AAD7-44D8-BBD7-CCE9431645EC}">
                        <a14:shadowObscured xmlns:a14="http://schemas.microsoft.com/office/drawing/2010/main"/>
                      </a:ext>
                    </a:extLst>
                  </pic:spPr>
                </pic:pic>
              </a:graphicData>
            </a:graphic>
          </wp:anchor>
        </w:drawing>
      </w:r>
    </w:p>
    <w:p w14:paraId="1C02E0AC" w14:textId="223A2250" w:rsidR="00312B6E" w:rsidRDefault="00312B6E" w:rsidP="00312B6E">
      <w:pPr>
        <w:rPr>
          <w:b/>
          <w:bCs/>
          <w:sz w:val="24"/>
          <w:szCs w:val="24"/>
        </w:rPr>
      </w:pPr>
      <w:r w:rsidRPr="00312B6E">
        <w:rPr>
          <w:b/>
          <w:bCs/>
          <w:sz w:val="24"/>
          <w:szCs w:val="24"/>
        </w:rPr>
        <w:t>Welche Vorteile könnte es haben, wenn sich die Larven in den Überresten von Waldbränden entwickeln? Was meinst du?</w:t>
      </w:r>
      <w:r>
        <w:rPr>
          <w:b/>
          <w:bCs/>
          <w:sz w:val="24"/>
          <w:szCs w:val="24"/>
        </w:rPr>
        <w:t xml:space="preserve"> </w:t>
      </w:r>
      <w:r>
        <w:rPr>
          <w:b/>
          <w:bCs/>
          <w:sz w:val="24"/>
          <w:szCs w:val="24"/>
        </w:rPr>
        <w:t>Kreuze die richtige Alternative an!</w:t>
      </w:r>
    </w:p>
    <w:p w14:paraId="2B430D03" w14:textId="77777777" w:rsidR="00763D67" w:rsidRPr="00312B6E" w:rsidRDefault="00763D67" w:rsidP="00312B6E">
      <w:pPr>
        <w:rPr>
          <w:b/>
          <w:bCs/>
          <w:sz w:val="24"/>
          <w:szCs w:val="24"/>
        </w:rPr>
      </w:pPr>
    </w:p>
    <w:tbl>
      <w:tblPr>
        <w:tblStyle w:val="Tabellenraster"/>
        <w:tblW w:w="0" w:type="auto"/>
        <w:tblLook w:val="04A0" w:firstRow="1" w:lastRow="0" w:firstColumn="1" w:lastColumn="0" w:noHBand="0" w:noVBand="1"/>
      </w:tblPr>
      <w:tblGrid>
        <w:gridCol w:w="562"/>
        <w:gridCol w:w="8500"/>
      </w:tblGrid>
      <w:tr w:rsidR="00312B6E" w14:paraId="01508155" w14:textId="77777777" w:rsidTr="00084249">
        <w:tc>
          <w:tcPr>
            <w:tcW w:w="562" w:type="dxa"/>
          </w:tcPr>
          <w:p w14:paraId="3571EB92" w14:textId="77777777" w:rsidR="00312B6E" w:rsidRDefault="00312B6E" w:rsidP="00084249">
            <w:pPr>
              <w:rPr>
                <w:sz w:val="24"/>
                <w:szCs w:val="24"/>
              </w:rPr>
            </w:pPr>
          </w:p>
        </w:tc>
        <w:tc>
          <w:tcPr>
            <w:tcW w:w="8500" w:type="dxa"/>
          </w:tcPr>
          <w:p w14:paraId="6E6705A5" w14:textId="2F51B851" w:rsidR="00312B6E" w:rsidRDefault="00312B6E" w:rsidP="00084249">
            <w:pPr>
              <w:rPr>
                <w:sz w:val="24"/>
                <w:szCs w:val="24"/>
              </w:rPr>
            </w:pPr>
            <w:r w:rsidRPr="00312B6E">
              <w:rPr>
                <w:sz w:val="24"/>
                <w:szCs w:val="24"/>
              </w:rPr>
              <w:t>Durch das Feuer geschädigte Bäume besitzen keine Abwehrmechanismen (wie z.B. Harzfluss) mehr.</w:t>
            </w:r>
          </w:p>
        </w:tc>
      </w:tr>
      <w:tr w:rsidR="00312B6E" w14:paraId="04E6DC44" w14:textId="77777777" w:rsidTr="00084249">
        <w:tc>
          <w:tcPr>
            <w:tcW w:w="562" w:type="dxa"/>
          </w:tcPr>
          <w:p w14:paraId="087E4D0F" w14:textId="77777777" w:rsidR="00312B6E" w:rsidRDefault="00312B6E" w:rsidP="00084249">
            <w:pPr>
              <w:rPr>
                <w:sz w:val="24"/>
                <w:szCs w:val="24"/>
              </w:rPr>
            </w:pPr>
          </w:p>
        </w:tc>
        <w:tc>
          <w:tcPr>
            <w:tcW w:w="8500" w:type="dxa"/>
          </w:tcPr>
          <w:p w14:paraId="705EEE3F" w14:textId="68A401C0" w:rsidR="00312B6E" w:rsidRDefault="00312B6E" w:rsidP="00084249">
            <w:pPr>
              <w:rPr>
                <w:sz w:val="24"/>
                <w:szCs w:val="24"/>
              </w:rPr>
            </w:pPr>
            <w:r w:rsidRPr="00312B6E">
              <w:rPr>
                <w:sz w:val="24"/>
                <w:szCs w:val="24"/>
              </w:rPr>
              <w:t>Die Larven können sich nur in dem verkohlten Holz entwickeln.</w:t>
            </w:r>
          </w:p>
        </w:tc>
      </w:tr>
      <w:tr w:rsidR="00312B6E" w14:paraId="68051095" w14:textId="77777777" w:rsidTr="00084249">
        <w:tc>
          <w:tcPr>
            <w:tcW w:w="562" w:type="dxa"/>
          </w:tcPr>
          <w:p w14:paraId="279CD1D4" w14:textId="77777777" w:rsidR="00312B6E" w:rsidRDefault="00312B6E" w:rsidP="00084249">
            <w:pPr>
              <w:rPr>
                <w:sz w:val="24"/>
                <w:szCs w:val="24"/>
              </w:rPr>
            </w:pPr>
          </w:p>
        </w:tc>
        <w:tc>
          <w:tcPr>
            <w:tcW w:w="8500" w:type="dxa"/>
          </w:tcPr>
          <w:p w14:paraId="462A838A" w14:textId="5EC62CEB" w:rsidR="00312B6E" w:rsidRDefault="00312B6E" w:rsidP="00084249">
            <w:pPr>
              <w:rPr>
                <w:sz w:val="24"/>
                <w:szCs w:val="24"/>
              </w:rPr>
            </w:pPr>
            <w:r w:rsidRPr="00312B6E">
              <w:rPr>
                <w:sz w:val="24"/>
                <w:szCs w:val="24"/>
              </w:rPr>
              <w:t>Viele Fressfeinde der Käfer sind durch das Feuer geflohen.</w:t>
            </w:r>
          </w:p>
        </w:tc>
      </w:tr>
    </w:tbl>
    <w:p w14:paraId="26096295" w14:textId="73B620C3" w:rsidR="00312B6E" w:rsidRDefault="00312B6E">
      <w:pPr>
        <w:rPr>
          <w:b/>
          <w:bCs/>
          <w:sz w:val="24"/>
          <w:szCs w:val="24"/>
        </w:rPr>
      </w:pPr>
    </w:p>
    <w:p w14:paraId="2D13E089" w14:textId="7CF1EC5E" w:rsidR="00312B6E" w:rsidRDefault="00312B6E" w:rsidP="00763D67">
      <w:pPr>
        <w:jc w:val="both"/>
        <w:rPr>
          <w:sz w:val="24"/>
          <w:szCs w:val="24"/>
        </w:rPr>
      </w:pPr>
      <w:r w:rsidRPr="00312B6E">
        <w:rPr>
          <w:sz w:val="24"/>
          <w:szCs w:val="24"/>
        </w:rPr>
        <w:lastRenderedPageBreak/>
        <w:t xml:space="preserve">Sobald sich die Larve zu einem Käfer entwickelt hat, verlässt sie die verbrannte Waldfläche. Um sich selbst fortpflanzen zu können, muss der erwachsene Käfer nun einen neuen Waldbrand finden. Denn die Wahrscheinlichkeit, dass an seinem Schlupfort ein weiteres Feuer entsteht, ist sehr gering. </w:t>
      </w:r>
    </w:p>
    <w:tbl>
      <w:tblPr>
        <w:tblStyle w:val="Tabellenraster"/>
        <w:tblW w:w="0" w:type="auto"/>
        <w:tblLayout w:type="fixed"/>
        <w:tblLook w:val="04A0" w:firstRow="1" w:lastRow="0" w:firstColumn="1" w:lastColumn="0" w:noHBand="0" w:noVBand="1"/>
      </w:tblPr>
      <w:tblGrid>
        <w:gridCol w:w="5670"/>
        <w:gridCol w:w="3402"/>
      </w:tblGrid>
      <w:tr w:rsidR="00D111CA" w14:paraId="70738748" w14:textId="77777777" w:rsidTr="00D111CA">
        <w:tc>
          <w:tcPr>
            <w:tcW w:w="5670" w:type="dxa"/>
            <w:tcBorders>
              <w:top w:val="nil"/>
              <w:left w:val="nil"/>
              <w:bottom w:val="nil"/>
              <w:right w:val="nil"/>
            </w:tcBorders>
          </w:tcPr>
          <w:p w14:paraId="6EF2F351" w14:textId="77777777" w:rsidR="00D111CA" w:rsidRDefault="00D111CA" w:rsidP="00D111CA">
            <w:pPr>
              <w:jc w:val="both"/>
              <w:rPr>
                <w:sz w:val="24"/>
                <w:szCs w:val="24"/>
              </w:rPr>
            </w:pPr>
            <w:r>
              <w:rPr>
                <w:sz w:val="24"/>
                <w:szCs w:val="24"/>
              </w:rPr>
              <w:t>Um Waldbrände auch in einiger Entfernung zu erkennen, besitzt der schw</w:t>
            </w:r>
            <w:r w:rsidRPr="00763D67">
              <w:rPr>
                <w:sz w:val="24"/>
                <w:szCs w:val="24"/>
              </w:rPr>
              <w:t>arze Kiefernprachtkäfer zwei Grubenorgane, die sich jeweils seitlich am mittleren Segment des Brustbereichs befinden und sogar mit dem bloßen Auge zu erkennen sind.</w:t>
            </w:r>
          </w:p>
          <w:p w14:paraId="672C2C75" w14:textId="77777777" w:rsidR="00D111CA" w:rsidRDefault="00D111CA" w:rsidP="00D111CA">
            <w:pPr>
              <w:jc w:val="both"/>
              <w:rPr>
                <w:sz w:val="24"/>
                <w:szCs w:val="24"/>
              </w:rPr>
            </w:pPr>
            <w:r w:rsidRPr="00763D67">
              <w:rPr>
                <w:sz w:val="24"/>
                <w:szCs w:val="24"/>
              </w:rPr>
              <w:t>Werden die Grubenorgane von Infrarotstrahlung einer spezifischen Wellenlänge getroffen, so reagieren die Käfer mit schnellen Antennenbewegungen. Ein Hinweis dafür, dass die Käfer hier Sensoren zur Erkennung von Infrarotstrahlung besitzen.</w:t>
            </w:r>
          </w:p>
          <w:p w14:paraId="781A29F0" w14:textId="4B85CD92" w:rsidR="00D111CA" w:rsidRDefault="00D111CA" w:rsidP="00D111CA">
            <w:pPr>
              <w:jc w:val="both"/>
              <w:rPr>
                <w:sz w:val="24"/>
                <w:szCs w:val="24"/>
              </w:rPr>
            </w:pPr>
          </w:p>
        </w:tc>
        <w:tc>
          <w:tcPr>
            <w:tcW w:w="3402" w:type="dxa"/>
            <w:tcBorders>
              <w:top w:val="nil"/>
              <w:left w:val="nil"/>
              <w:bottom w:val="nil"/>
              <w:right w:val="nil"/>
            </w:tcBorders>
          </w:tcPr>
          <w:p w14:paraId="1EC7C23E" w14:textId="327AD2D3" w:rsidR="00D111CA" w:rsidRDefault="00D111CA" w:rsidP="00763D67">
            <w:pPr>
              <w:jc w:val="both"/>
              <w:rPr>
                <w:sz w:val="24"/>
                <w:szCs w:val="24"/>
              </w:rPr>
            </w:pPr>
            <w:r>
              <w:rPr>
                <w:noProof/>
                <w:sz w:val="24"/>
                <w:szCs w:val="24"/>
              </w:rPr>
              <w:drawing>
                <wp:anchor distT="0" distB="0" distL="114300" distR="114300" simplePos="0" relativeHeight="251664384" behindDoc="1" locked="0" layoutInCell="1" allowOverlap="1" wp14:anchorId="4C79C05E" wp14:editId="5E46EF2E">
                  <wp:simplePos x="0" y="0"/>
                  <wp:positionH relativeFrom="column">
                    <wp:posOffset>-60410</wp:posOffset>
                  </wp:positionH>
                  <wp:positionV relativeFrom="paragraph">
                    <wp:posOffset>123416</wp:posOffset>
                  </wp:positionV>
                  <wp:extent cx="2148461" cy="1509962"/>
                  <wp:effectExtent l="0" t="0" r="4445" b="0"/>
                  <wp:wrapTight wrapText="bothSides">
                    <wp:wrapPolygon edited="0">
                      <wp:start x="0" y="0"/>
                      <wp:lineTo x="0" y="21264"/>
                      <wp:lineTo x="21453" y="21264"/>
                      <wp:lineTo x="2145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0" cstate="print">
                            <a:extLst>
                              <a:ext uri="{28A0092B-C50C-407E-A947-70E740481C1C}">
                                <a14:useLocalDpi xmlns:a14="http://schemas.microsoft.com/office/drawing/2010/main" val="0"/>
                              </a:ext>
                            </a:extLst>
                          </a:blip>
                          <a:srcRect l="24582" t="18850" r="47971" b="52216"/>
                          <a:stretch/>
                        </pic:blipFill>
                        <pic:spPr bwMode="auto">
                          <a:xfrm>
                            <a:off x="0" y="0"/>
                            <a:ext cx="2148461" cy="15099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7AF04B5" w14:textId="77777777" w:rsidR="00D111CA" w:rsidRDefault="00D111CA" w:rsidP="00763D67">
      <w:pPr>
        <w:jc w:val="both"/>
        <w:rPr>
          <w:sz w:val="24"/>
          <w:szCs w:val="24"/>
        </w:rPr>
      </w:pPr>
    </w:p>
    <w:p w14:paraId="24CD15CA" w14:textId="55473452" w:rsidR="00D111CA" w:rsidRDefault="00D111CA" w:rsidP="00763D67">
      <w:pPr>
        <w:jc w:val="both"/>
        <w:rPr>
          <w:sz w:val="24"/>
          <w:szCs w:val="24"/>
        </w:rPr>
      </w:pPr>
      <w:r w:rsidRPr="00763D67">
        <w:rPr>
          <w:sz w:val="24"/>
          <w:szCs w:val="24"/>
        </w:rPr>
        <w:t>Forscher haben herausgefunden, dass sich innerhalb eines Grubenorgans in etwa 70 Infrarotrezeptoren, auch Infrarot-Sensillen genannt, befinden. Wie ein solcher Infrarotrezeptor genauer funktioniert, schauen wir uns später in Station 5 an.</w:t>
      </w:r>
    </w:p>
    <w:p w14:paraId="0B7B995A" w14:textId="4FBF858D" w:rsidR="00763D67" w:rsidRPr="00763D67" w:rsidRDefault="00763D67" w:rsidP="00763D67">
      <w:pPr>
        <w:jc w:val="both"/>
        <w:rPr>
          <w:sz w:val="24"/>
          <w:szCs w:val="24"/>
        </w:rPr>
      </w:pPr>
      <w:r>
        <w:rPr>
          <w:sz w:val="24"/>
          <w:szCs w:val="24"/>
        </w:rPr>
        <w:t>Wie</w:t>
      </w:r>
      <w:r w:rsidRPr="00763D67">
        <w:rPr>
          <w:sz w:val="24"/>
          <w:szCs w:val="24"/>
        </w:rPr>
        <w:t xml:space="preserve"> genau Infrarotstrahlung und Waldbrände zusammenhängen, </w:t>
      </w:r>
      <w:r>
        <w:rPr>
          <w:sz w:val="24"/>
          <w:szCs w:val="24"/>
        </w:rPr>
        <w:t xml:space="preserve">werden wir </w:t>
      </w:r>
      <w:r w:rsidRPr="00763D67">
        <w:rPr>
          <w:sz w:val="24"/>
          <w:szCs w:val="24"/>
        </w:rPr>
        <w:t>noch in Station 2</w:t>
      </w:r>
      <w:r>
        <w:rPr>
          <w:sz w:val="24"/>
          <w:szCs w:val="24"/>
        </w:rPr>
        <w:t xml:space="preserve"> sehen</w:t>
      </w:r>
      <w:r w:rsidRPr="00763D67">
        <w:rPr>
          <w:sz w:val="24"/>
          <w:szCs w:val="24"/>
        </w:rPr>
        <w:t>.</w:t>
      </w:r>
    </w:p>
    <w:p w14:paraId="3FABD232" w14:textId="4BC7E9AC" w:rsidR="00763D67" w:rsidRPr="00763D67" w:rsidRDefault="00763D67" w:rsidP="00763D67">
      <w:pPr>
        <w:jc w:val="both"/>
        <w:rPr>
          <w:sz w:val="24"/>
          <w:szCs w:val="24"/>
        </w:rPr>
      </w:pPr>
      <w:r w:rsidRPr="00763D67">
        <w:rPr>
          <w:sz w:val="24"/>
          <w:szCs w:val="24"/>
        </w:rPr>
        <w:t xml:space="preserve">Die Hauptaufgabe der kleinen feuerliebenden Käfer ist also das Aufspüren von Waldbränden. Dabei legen sie zum Teil große Entfernungen zurück. </w:t>
      </w:r>
    </w:p>
    <w:p w14:paraId="575F908D" w14:textId="44D20358" w:rsidR="00763D67" w:rsidRDefault="00763D67" w:rsidP="00763D67">
      <w:pPr>
        <w:jc w:val="both"/>
        <w:rPr>
          <w:sz w:val="24"/>
          <w:szCs w:val="24"/>
        </w:rPr>
      </w:pPr>
      <w:r w:rsidRPr="00763D67">
        <w:rPr>
          <w:sz w:val="24"/>
          <w:szCs w:val="24"/>
        </w:rPr>
        <w:t xml:space="preserve">Um eine Entfernungsabschätzung zu treffen, haben Forscher ein Ereignis, das sich 1925 in </w:t>
      </w:r>
      <w:proofErr w:type="spellStart"/>
      <w:r w:rsidRPr="00763D67">
        <w:rPr>
          <w:sz w:val="24"/>
          <w:szCs w:val="24"/>
        </w:rPr>
        <w:t>Coalinga</w:t>
      </w:r>
      <w:proofErr w:type="spellEnd"/>
      <w:r w:rsidRPr="00763D67">
        <w:rPr>
          <w:sz w:val="24"/>
          <w:szCs w:val="24"/>
        </w:rPr>
        <w:t xml:space="preserve"> (Kalifornien) zugetragen hat, untersucht. Im August 1925 fingen 750.000 Barrel Öl der Shell Oil Company Feuer. Rund um die Feuerstelle konnten daraufhin einige Melanophila Käfer gesichtet werden.</w:t>
      </w:r>
      <w:r>
        <w:rPr>
          <w:sz w:val="24"/>
          <w:szCs w:val="24"/>
        </w:rPr>
        <w:t xml:space="preserve"> </w:t>
      </w:r>
      <w:proofErr w:type="spellStart"/>
      <w:r w:rsidRPr="00763D67">
        <w:rPr>
          <w:sz w:val="24"/>
          <w:szCs w:val="24"/>
        </w:rPr>
        <w:t>Coalinga</w:t>
      </w:r>
      <w:proofErr w:type="spellEnd"/>
      <w:r w:rsidRPr="00763D67">
        <w:rPr>
          <w:sz w:val="24"/>
          <w:szCs w:val="24"/>
        </w:rPr>
        <w:t xml:space="preserve"> liegt</w:t>
      </w:r>
      <w:r>
        <w:rPr>
          <w:sz w:val="24"/>
          <w:szCs w:val="24"/>
        </w:rPr>
        <w:t xml:space="preserve"> </w:t>
      </w:r>
      <w:r w:rsidRPr="00763D67">
        <w:rPr>
          <w:sz w:val="24"/>
          <w:szCs w:val="24"/>
        </w:rPr>
        <w:t>im</w:t>
      </w:r>
      <w:r>
        <w:rPr>
          <w:sz w:val="24"/>
          <w:szCs w:val="24"/>
        </w:rPr>
        <w:t xml:space="preserve"> </w:t>
      </w:r>
      <w:r w:rsidRPr="00763D67">
        <w:rPr>
          <w:sz w:val="24"/>
          <w:szCs w:val="24"/>
        </w:rPr>
        <w:t xml:space="preserve">trockenen Central Valley von Kalifornien. Die nächsten Wälder sind erst in 50-100 Meilen rund um </w:t>
      </w:r>
      <w:proofErr w:type="spellStart"/>
      <w:r w:rsidRPr="00763D67">
        <w:rPr>
          <w:sz w:val="24"/>
          <w:szCs w:val="24"/>
        </w:rPr>
        <w:t>Coalinga</w:t>
      </w:r>
      <w:proofErr w:type="spellEnd"/>
      <w:r w:rsidRPr="00763D67">
        <w:rPr>
          <w:sz w:val="24"/>
          <w:szCs w:val="24"/>
        </w:rPr>
        <w:t xml:space="preserve"> zu finden. Aufgrund dieser Lage des Öltankbrands, sehen die Forscher es als möglich an, dass die Käfer große Brände aus Entfernungen von bis zu 130 km erkennen können.</w:t>
      </w:r>
    </w:p>
    <w:p w14:paraId="3534B682" w14:textId="2F24AEAD" w:rsidR="00763D67" w:rsidRDefault="00763D67" w:rsidP="00763D67">
      <w:pPr>
        <w:jc w:val="both"/>
        <w:rPr>
          <w:sz w:val="24"/>
          <w:szCs w:val="24"/>
        </w:rPr>
      </w:pPr>
      <w:r>
        <w:rPr>
          <w:noProof/>
          <w:sz w:val="24"/>
          <w:szCs w:val="24"/>
        </w:rPr>
        <w:drawing>
          <wp:anchor distT="0" distB="0" distL="114300" distR="114300" simplePos="0" relativeHeight="251665408" behindDoc="1" locked="0" layoutInCell="1" allowOverlap="1" wp14:anchorId="2D4DF4D2" wp14:editId="150F8BC4">
            <wp:simplePos x="0" y="0"/>
            <wp:positionH relativeFrom="column">
              <wp:posOffset>-2224</wp:posOffset>
            </wp:positionH>
            <wp:positionV relativeFrom="paragraph">
              <wp:posOffset>-1554</wp:posOffset>
            </wp:positionV>
            <wp:extent cx="437566" cy="437566"/>
            <wp:effectExtent l="0" t="0" r="0" b="635"/>
            <wp:wrapTight wrapText="bothSides">
              <wp:wrapPolygon edited="0">
                <wp:start x="8464" y="0"/>
                <wp:lineTo x="7524" y="20691"/>
                <wp:lineTo x="13167" y="20691"/>
                <wp:lineTo x="13167" y="0"/>
                <wp:lineTo x="8464" y="0"/>
              </wp:wrapPolygon>
            </wp:wrapTight>
            <wp:docPr id="7" name="Grafik 7" descr="Ausrufezeich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Ausrufezeichen mit einfarbiger Füllun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H="1">
                      <a:off x="0" y="0"/>
                      <a:ext cx="437566" cy="437566"/>
                    </a:xfrm>
                    <a:prstGeom prst="rect">
                      <a:avLst/>
                    </a:prstGeom>
                  </pic:spPr>
                </pic:pic>
              </a:graphicData>
            </a:graphic>
          </wp:anchor>
        </w:drawing>
      </w:r>
      <w:r>
        <w:rPr>
          <w:sz w:val="24"/>
          <w:szCs w:val="24"/>
        </w:rPr>
        <w:t xml:space="preserve">Für </w:t>
      </w:r>
      <w:r w:rsidRPr="00763D67">
        <w:rPr>
          <w:sz w:val="24"/>
          <w:szCs w:val="24"/>
        </w:rPr>
        <w:t xml:space="preserve">mehr Informationen geht's hier zu dem Artikel von Schmitz, H. &amp; </w:t>
      </w:r>
      <w:proofErr w:type="spellStart"/>
      <w:r w:rsidRPr="00763D67">
        <w:rPr>
          <w:sz w:val="24"/>
          <w:szCs w:val="24"/>
        </w:rPr>
        <w:t>Bousack</w:t>
      </w:r>
      <w:proofErr w:type="spellEnd"/>
      <w:r w:rsidRPr="00763D67">
        <w:rPr>
          <w:sz w:val="24"/>
          <w:szCs w:val="24"/>
        </w:rPr>
        <w:t>, H. (2012)</w:t>
      </w:r>
      <w:r>
        <w:rPr>
          <w:sz w:val="24"/>
          <w:szCs w:val="24"/>
        </w:rPr>
        <w:t xml:space="preserve"> </w:t>
      </w:r>
      <w:hyperlink r:id="rId13" w:history="1">
        <w:r w:rsidRPr="00E050D5">
          <w:rPr>
            <w:rStyle w:val="Hyperlink"/>
            <w:sz w:val="24"/>
            <w:szCs w:val="24"/>
          </w:rPr>
          <w:t>https://journals.plos.org/plosone/article?id=10.1371/journal.pone.0037627</w:t>
        </w:r>
      </w:hyperlink>
      <w:r>
        <w:rPr>
          <w:sz w:val="24"/>
          <w:szCs w:val="24"/>
        </w:rPr>
        <w:t xml:space="preserve"> </w:t>
      </w:r>
    </w:p>
    <w:p w14:paraId="3DA3A05E" w14:textId="72B2508E" w:rsidR="00763D67" w:rsidRPr="00763D67" w:rsidRDefault="00763D67" w:rsidP="00763D67">
      <w:pPr>
        <w:jc w:val="both"/>
        <w:rPr>
          <w:sz w:val="24"/>
          <w:szCs w:val="24"/>
        </w:rPr>
      </w:pPr>
      <w:r w:rsidRPr="00763D67">
        <w:rPr>
          <w:sz w:val="24"/>
          <w:szCs w:val="24"/>
        </w:rPr>
        <w:t xml:space="preserve">Die Infrarotorgane detektieren jedes Feuer, das mit einem Waldbrand vergleichbar ist. Allerdings benötigt der Käfer für seine Laven verbranntes Holz und daher nützt ihm nur ein echter Waldbrand etwas. </w:t>
      </w:r>
    </w:p>
    <w:p w14:paraId="05F16FE1" w14:textId="3DC95E88" w:rsidR="00763D67" w:rsidRPr="00763D67" w:rsidRDefault="00763D67" w:rsidP="00763D67">
      <w:pPr>
        <w:jc w:val="both"/>
        <w:rPr>
          <w:sz w:val="24"/>
          <w:szCs w:val="24"/>
        </w:rPr>
      </w:pPr>
      <w:r w:rsidRPr="00763D67">
        <w:rPr>
          <w:sz w:val="24"/>
          <w:szCs w:val="24"/>
        </w:rPr>
        <w:t>Damit Verwechslungen möglichst selten sind, besitzt der Feuerkäfer neben den Grubenorgangen Rauchgassensoren.</w:t>
      </w:r>
    </w:p>
    <w:p w14:paraId="22214FB9" w14:textId="1A5DC09D" w:rsidR="00763D67" w:rsidRPr="00312B6E" w:rsidRDefault="00763D67" w:rsidP="00763D67">
      <w:pPr>
        <w:jc w:val="both"/>
        <w:rPr>
          <w:sz w:val="24"/>
          <w:szCs w:val="24"/>
        </w:rPr>
      </w:pPr>
      <w:r w:rsidRPr="00763D67">
        <w:rPr>
          <w:sz w:val="24"/>
          <w:szCs w:val="24"/>
        </w:rPr>
        <w:t>Diese Rauchgassensoren befinden sich in den Antennen des schwarzen Kiefernprachtkäfers. Mit ihnen ist der Käfer in der Lage Duftstoffe, die für schwelendes Kiefernholz charakteristisch sind, wahrzunehmen.</w:t>
      </w:r>
    </w:p>
    <w:sectPr w:rsidR="00763D67" w:rsidRPr="00312B6E" w:rsidSect="00D111C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7C15" w14:textId="77777777" w:rsidR="007909A4" w:rsidRDefault="007909A4" w:rsidP="00D3349E">
      <w:pPr>
        <w:spacing w:after="0" w:line="240" w:lineRule="auto"/>
      </w:pPr>
      <w:r>
        <w:separator/>
      </w:r>
    </w:p>
  </w:endnote>
  <w:endnote w:type="continuationSeparator" w:id="0">
    <w:p w14:paraId="6609F6A0" w14:textId="77777777" w:rsidR="007909A4" w:rsidRDefault="007909A4" w:rsidP="00D3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B86" w14:textId="77777777" w:rsidR="00D3349E" w:rsidRDefault="00D334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2612" w14:textId="77777777" w:rsidR="00D3349E" w:rsidRDefault="00D3349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0E0A" w14:textId="77777777" w:rsidR="00D3349E" w:rsidRDefault="00D334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22AEA" w14:textId="77777777" w:rsidR="007909A4" w:rsidRDefault="007909A4" w:rsidP="00D3349E">
      <w:pPr>
        <w:spacing w:after="0" w:line="240" w:lineRule="auto"/>
      </w:pPr>
      <w:r>
        <w:separator/>
      </w:r>
    </w:p>
  </w:footnote>
  <w:footnote w:type="continuationSeparator" w:id="0">
    <w:p w14:paraId="25CFD612" w14:textId="77777777" w:rsidR="007909A4" w:rsidRDefault="007909A4" w:rsidP="00D33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C55E" w14:textId="77777777" w:rsidR="00D3349E" w:rsidRDefault="00D334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1430" w14:textId="4AD0614B" w:rsidR="00D3349E" w:rsidRDefault="00D334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90F3" w14:textId="77777777" w:rsidR="00D111CA" w:rsidRDefault="00D111CA" w:rsidP="00D111CA">
    <w:pPr>
      <w:pStyle w:val="Kopfzeile"/>
    </w:pPr>
    <w:r>
      <w:t>Name:</w:t>
    </w:r>
    <w:r>
      <w:t xml:space="preserve">                                                                                                                                  Datum:                                 </w:t>
    </w:r>
  </w:p>
  <w:p w14:paraId="47E1A13B" w14:textId="77777777" w:rsidR="00D111CA" w:rsidRDefault="00D111CA" w:rsidP="00D111CA">
    <w:pPr>
      <w:pStyle w:val="Kopfzeile"/>
    </w:pPr>
  </w:p>
  <w:p w14:paraId="35F31DF0" w14:textId="77777777" w:rsidR="00D111CA" w:rsidRDefault="00D111CA" w:rsidP="00D111CA">
    <w:pPr>
      <w:pStyle w:val="Kopfzeile"/>
    </w:pPr>
    <w:r>
      <w:t>Klasse: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9E"/>
    <w:rsid w:val="00091034"/>
    <w:rsid w:val="00312B6E"/>
    <w:rsid w:val="00763D67"/>
    <w:rsid w:val="007909A4"/>
    <w:rsid w:val="00A77D42"/>
    <w:rsid w:val="00D111CA"/>
    <w:rsid w:val="00D3349E"/>
    <w:rsid w:val="00F96B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86CF5"/>
  <w15:chartTrackingRefBased/>
  <w15:docId w15:val="{11617656-7AE8-4F9D-B3CF-31BAA430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34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49E"/>
  </w:style>
  <w:style w:type="paragraph" w:styleId="Fuzeile">
    <w:name w:val="footer"/>
    <w:basedOn w:val="Standard"/>
    <w:link w:val="FuzeileZchn"/>
    <w:uiPriority w:val="99"/>
    <w:unhideWhenUsed/>
    <w:rsid w:val="00D334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49E"/>
  </w:style>
  <w:style w:type="table" w:styleId="Tabellenraster">
    <w:name w:val="Table Grid"/>
    <w:basedOn w:val="NormaleTabelle"/>
    <w:uiPriority w:val="39"/>
    <w:rsid w:val="00D3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3D67"/>
    <w:rPr>
      <w:color w:val="0563C1" w:themeColor="hyperlink"/>
      <w:u w:val="single"/>
    </w:rPr>
  </w:style>
  <w:style w:type="character" w:styleId="NichtaufgelsteErwhnung">
    <w:name w:val="Unresolved Mention"/>
    <w:basedOn w:val="Absatz-Standardschriftart"/>
    <w:uiPriority w:val="99"/>
    <w:semiHidden/>
    <w:unhideWhenUsed/>
    <w:rsid w:val="00763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28575">
      <w:bodyDiv w:val="1"/>
      <w:marLeft w:val="0"/>
      <w:marRight w:val="0"/>
      <w:marTop w:val="0"/>
      <w:marBottom w:val="0"/>
      <w:divBdr>
        <w:top w:val="none" w:sz="0" w:space="0" w:color="auto"/>
        <w:left w:val="none" w:sz="0" w:space="0" w:color="auto"/>
        <w:bottom w:val="none" w:sz="0" w:space="0" w:color="auto"/>
        <w:right w:val="none" w:sz="0" w:space="0" w:color="auto"/>
      </w:divBdr>
    </w:div>
    <w:div w:id="892155629">
      <w:bodyDiv w:val="1"/>
      <w:marLeft w:val="0"/>
      <w:marRight w:val="0"/>
      <w:marTop w:val="0"/>
      <w:marBottom w:val="0"/>
      <w:divBdr>
        <w:top w:val="none" w:sz="0" w:space="0" w:color="auto"/>
        <w:left w:val="none" w:sz="0" w:space="0" w:color="auto"/>
        <w:bottom w:val="none" w:sz="0" w:space="0" w:color="auto"/>
        <w:right w:val="none" w:sz="0" w:space="0" w:color="auto"/>
      </w:divBdr>
    </w:div>
    <w:div w:id="979577748">
      <w:bodyDiv w:val="1"/>
      <w:marLeft w:val="0"/>
      <w:marRight w:val="0"/>
      <w:marTop w:val="0"/>
      <w:marBottom w:val="0"/>
      <w:divBdr>
        <w:top w:val="none" w:sz="0" w:space="0" w:color="auto"/>
        <w:left w:val="none" w:sz="0" w:space="0" w:color="auto"/>
        <w:bottom w:val="none" w:sz="0" w:space="0" w:color="auto"/>
        <w:right w:val="none" w:sz="0" w:space="0" w:color="auto"/>
      </w:divBdr>
      <w:divsChild>
        <w:div w:id="564529751">
          <w:marLeft w:val="0"/>
          <w:marRight w:val="0"/>
          <w:marTop w:val="0"/>
          <w:marBottom w:val="0"/>
          <w:divBdr>
            <w:top w:val="none" w:sz="0" w:space="0" w:color="auto"/>
            <w:left w:val="none" w:sz="0" w:space="0" w:color="auto"/>
            <w:bottom w:val="none" w:sz="0" w:space="0" w:color="auto"/>
            <w:right w:val="none" w:sz="0" w:space="0" w:color="auto"/>
          </w:divBdr>
        </w:div>
      </w:divsChild>
    </w:div>
    <w:div w:id="1200243421">
      <w:bodyDiv w:val="1"/>
      <w:marLeft w:val="0"/>
      <w:marRight w:val="0"/>
      <w:marTop w:val="0"/>
      <w:marBottom w:val="0"/>
      <w:divBdr>
        <w:top w:val="none" w:sz="0" w:space="0" w:color="auto"/>
        <w:left w:val="none" w:sz="0" w:space="0" w:color="auto"/>
        <w:bottom w:val="none" w:sz="0" w:space="0" w:color="auto"/>
        <w:right w:val="none" w:sz="0" w:space="0" w:color="auto"/>
      </w:divBdr>
      <w:divsChild>
        <w:div w:id="164521776">
          <w:marLeft w:val="0"/>
          <w:marRight w:val="0"/>
          <w:marTop w:val="0"/>
          <w:marBottom w:val="0"/>
          <w:divBdr>
            <w:top w:val="none" w:sz="0" w:space="0" w:color="auto"/>
            <w:left w:val="none" w:sz="0" w:space="0" w:color="auto"/>
            <w:bottom w:val="none" w:sz="0" w:space="0" w:color="auto"/>
            <w:right w:val="none" w:sz="0" w:space="0" w:color="auto"/>
          </w:divBdr>
        </w:div>
      </w:divsChild>
    </w:div>
    <w:div w:id="1296445250">
      <w:bodyDiv w:val="1"/>
      <w:marLeft w:val="0"/>
      <w:marRight w:val="0"/>
      <w:marTop w:val="0"/>
      <w:marBottom w:val="0"/>
      <w:divBdr>
        <w:top w:val="none" w:sz="0" w:space="0" w:color="auto"/>
        <w:left w:val="none" w:sz="0" w:space="0" w:color="auto"/>
        <w:bottom w:val="none" w:sz="0" w:space="0" w:color="auto"/>
        <w:right w:val="none" w:sz="0" w:space="0" w:color="auto"/>
      </w:divBdr>
    </w:div>
    <w:div w:id="1497838306">
      <w:bodyDiv w:val="1"/>
      <w:marLeft w:val="0"/>
      <w:marRight w:val="0"/>
      <w:marTop w:val="0"/>
      <w:marBottom w:val="0"/>
      <w:divBdr>
        <w:top w:val="none" w:sz="0" w:space="0" w:color="auto"/>
        <w:left w:val="none" w:sz="0" w:space="0" w:color="auto"/>
        <w:bottom w:val="none" w:sz="0" w:space="0" w:color="auto"/>
        <w:right w:val="none" w:sz="0" w:space="0" w:color="auto"/>
      </w:divBdr>
    </w:div>
    <w:div w:id="1659380718">
      <w:bodyDiv w:val="1"/>
      <w:marLeft w:val="0"/>
      <w:marRight w:val="0"/>
      <w:marTop w:val="0"/>
      <w:marBottom w:val="0"/>
      <w:divBdr>
        <w:top w:val="none" w:sz="0" w:space="0" w:color="auto"/>
        <w:left w:val="none" w:sz="0" w:space="0" w:color="auto"/>
        <w:bottom w:val="none" w:sz="0" w:space="0" w:color="auto"/>
        <w:right w:val="none" w:sz="0" w:space="0" w:color="auto"/>
      </w:divBdr>
      <w:divsChild>
        <w:div w:id="2114590931">
          <w:marLeft w:val="0"/>
          <w:marRight w:val="0"/>
          <w:marTop w:val="0"/>
          <w:marBottom w:val="0"/>
          <w:divBdr>
            <w:top w:val="none" w:sz="0" w:space="0" w:color="auto"/>
            <w:left w:val="none" w:sz="0" w:space="0" w:color="auto"/>
            <w:bottom w:val="none" w:sz="0" w:space="0" w:color="auto"/>
            <w:right w:val="none" w:sz="0" w:space="0" w:color="auto"/>
          </w:divBdr>
          <w:divsChild>
            <w:div w:id="1745955032">
              <w:marLeft w:val="0"/>
              <w:marRight w:val="0"/>
              <w:marTop w:val="0"/>
              <w:marBottom w:val="0"/>
              <w:divBdr>
                <w:top w:val="none" w:sz="0" w:space="0" w:color="auto"/>
                <w:left w:val="none" w:sz="0" w:space="0" w:color="auto"/>
                <w:bottom w:val="none" w:sz="0" w:space="0" w:color="auto"/>
                <w:right w:val="none" w:sz="0" w:space="0" w:color="auto"/>
              </w:divBdr>
            </w:div>
          </w:divsChild>
        </w:div>
        <w:div w:id="1503668576">
          <w:marLeft w:val="0"/>
          <w:marRight w:val="0"/>
          <w:marTop w:val="0"/>
          <w:marBottom w:val="0"/>
          <w:divBdr>
            <w:top w:val="none" w:sz="0" w:space="0" w:color="auto"/>
            <w:left w:val="none" w:sz="0" w:space="0" w:color="auto"/>
            <w:bottom w:val="none" w:sz="0" w:space="0" w:color="auto"/>
            <w:right w:val="none" w:sz="0" w:space="0" w:color="auto"/>
          </w:divBdr>
          <w:divsChild>
            <w:div w:id="13920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1216">
      <w:bodyDiv w:val="1"/>
      <w:marLeft w:val="0"/>
      <w:marRight w:val="0"/>
      <w:marTop w:val="0"/>
      <w:marBottom w:val="0"/>
      <w:divBdr>
        <w:top w:val="none" w:sz="0" w:space="0" w:color="auto"/>
        <w:left w:val="none" w:sz="0" w:space="0" w:color="auto"/>
        <w:bottom w:val="none" w:sz="0" w:space="0" w:color="auto"/>
        <w:right w:val="none" w:sz="0" w:space="0" w:color="auto"/>
      </w:divBdr>
      <w:divsChild>
        <w:div w:id="1609584070">
          <w:marLeft w:val="0"/>
          <w:marRight w:val="0"/>
          <w:marTop w:val="0"/>
          <w:marBottom w:val="0"/>
          <w:divBdr>
            <w:top w:val="none" w:sz="0" w:space="0" w:color="auto"/>
            <w:left w:val="none" w:sz="0" w:space="0" w:color="auto"/>
            <w:bottom w:val="none" w:sz="0" w:space="0" w:color="auto"/>
            <w:right w:val="none" w:sz="0" w:space="0" w:color="auto"/>
          </w:divBdr>
          <w:divsChild>
            <w:div w:id="228853673">
              <w:marLeft w:val="0"/>
              <w:marRight w:val="0"/>
              <w:marTop w:val="0"/>
              <w:marBottom w:val="0"/>
              <w:divBdr>
                <w:top w:val="none" w:sz="0" w:space="0" w:color="auto"/>
                <w:left w:val="none" w:sz="0" w:space="0" w:color="auto"/>
                <w:bottom w:val="none" w:sz="0" w:space="0" w:color="auto"/>
                <w:right w:val="none" w:sz="0" w:space="0" w:color="auto"/>
              </w:divBdr>
            </w:div>
          </w:divsChild>
        </w:div>
        <w:div w:id="1216620679">
          <w:marLeft w:val="0"/>
          <w:marRight w:val="0"/>
          <w:marTop w:val="0"/>
          <w:marBottom w:val="0"/>
          <w:divBdr>
            <w:top w:val="none" w:sz="0" w:space="0" w:color="auto"/>
            <w:left w:val="none" w:sz="0" w:space="0" w:color="auto"/>
            <w:bottom w:val="none" w:sz="0" w:space="0" w:color="auto"/>
            <w:right w:val="none" w:sz="0" w:space="0" w:color="auto"/>
          </w:divBdr>
          <w:divsChild>
            <w:div w:id="9567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2954">
      <w:bodyDiv w:val="1"/>
      <w:marLeft w:val="0"/>
      <w:marRight w:val="0"/>
      <w:marTop w:val="0"/>
      <w:marBottom w:val="0"/>
      <w:divBdr>
        <w:top w:val="none" w:sz="0" w:space="0" w:color="auto"/>
        <w:left w:val="none" w:sz="0" w:space="0" w:color="auto"/>
        <w:bottom w:val="none" w:sz="0" w:space="0" w:color="auto"/>
        <w:right w:val="none" w:sz="0" w:space="0" w:color="auto"/>
      </w:divBdr>
      <w:divsChild>
        <w:div w:id="372921311">
          <w:marLeft w:val="0"/>
          <w:marRight w:val="0"/>
          <w:marTop w:val="0"/>
          <w:marBottom w:val="0"/>
          <w:divBdr>
            <w:top w:val="none" w:sz="0" w:space="0" w:color="auto"/>
            <w:left w:val="none" w:sz="0" w:space="0" w:color="auto"/>
            <w:bottom w:val="none" w:sz="0" w:space="0" w:color="auto"/>
            <w:right w:val="none" w:sz="0" w:space="0" w:color="auto"/>
          </w:divBdr>
          <w:divsChild>
            <w:div w:id="1166021554">
              <w:marLeft w:val="0"/>
              <w:marRight w:val="0"/>
              <w:marTop w:val="0"/>
              <w:marBottom w:val="0"/>
              <w:divBdr>
                <w:top w:val="none" w:sz="0" w:space="0" w:color="auto"/>
                <w:left w:val="none" w:sz="0" w:space="0" w:color="auto"/>
                <w:bottom w:val="none" w:sz="0" w:space="0" w:color="auto"/>
                <w:right w:val="none" w:sz="0" w:space="0" w:color="auto"/>
              </w:divBdr>
            </w:div>
          </w:divsChild>
        </w:div>
        <w:div w:id="711001885">
          <w:marLeft w:val="0"/>
          <w:marRight w:val="0"/>
          <w:marTop w:val="0"/>
          <w:marBottom w:val="0"/>
          <w:divBdr>
            <w:top w:val="none" w:sz="0" w:space="0" w:color="auto"/>
            <w:left w:val="none" w:sz="0" w:space="0" w:color="auto"/>
            <w:bottom w:val="none" w:sz="0" w:space="0" w:color="auto"/>
            <w:right w:val="none" w:sz="0" w:space="0" w:color="auto"/>
          </w:divBdr>
          <w:divsChild>
            <w:div w:id="5557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6193">
      <w:bodyDiv w:val="1"/>
      <w:marLeft w:val="0"/>
      <w:marRight w:val="0"/>
      <w:marTop w:val="0"/>
      <w:marBottom w:val="0"/>
      <w:divBdr>
        <w:top w:val="none" w:sz="0" w:space="0" w:color="auto"/>
        <w:left w:val="none" w:sz="0" w:space="0" w:color="auto"/>
        <w:bottom w:val="none" w:sz="0" w:space="0" w:color="auto"/>
        <w:right w:val="none" w:sz="0" w:space="0" w:color="auto"/>
      </w:divBdr>
      <w:divsChild>
        <w:div w:id="134759640">
          <w:marLeft w:val="240"/>
          <w:marRight w:val="240"/>
          <w:marTop w:val="240"/>
          <w:marBottom w:val="240"/>
          <w:divBdr>
            <w:top w:val="none" w:sz="0" w:space="0" w:color="auto"/>
            <w:left w:val="none" w:sz="0" w:space="0" w:color="auto"/>
            <w:bottom w:val="none" w:sz="0" w:space="0" w:color="auto"/>
            <w:right w:val="none" w:sz="0" w:space="0" w:color="auto"/>
          </w:divBdr>
          <w:divsChild>
            <w:div w:id="1584798795">
              <w:marLeft w:val="0"/>
              <w:marRight w:val="0"/>
              <w:marTop w:val="0"/>
              <w:marBottom w:val="0"/>
              <w:divBdr>
                <w:top w:val="none" w:sz="0" w:space="0" w:color="auto"/>
                <w:left w:val="none" w:sz="0" w:space="0" w:color="auto"/>
                <w:bottom w:val="none" w:sz="0" w:space="0" w:color="auto"/>
                <w:right w:val="none" w:sz="0" w:space="0" w:color="auto"/>
              </w:divBdr>
            </w:div>
          </w:divsChild>
        </w:div>
        <w:div w:id="1767191789">
          <w:marLeft w:val="240"/>
          <w:marRight w:val="240"/>
          <w:marTop w:val="240"/>
          <w:marBottom w:val="240"/>
          <w:divBdr>
            <w:top w:val="none" w:sz="0" w:space="0" w:color="auto"/>
            <w:left w:val="none" w:sz="0" w:space="0" w:color="auto"/>
            <w:bottom w:val="none" w:sz="0" w:space="0" w:color="auto"/>
            <w:right w:val="none" w:sz="0" w:space="0" w:color="auto"/>
          </w:divBdr>
          <w:divsChild>
            <w:div w:id="1390037920">
              <w:marLeft w:val="0"/>
              <w:marRight w:val="0"/>
              <w:marTop w:val="0"/>
              <w:marBottom w:val="0"/>
              <w:divBdr>
                <w:top w:val="none" w:sz="0" w:space="0" w:color="auto"/>
                <w:left w:val="none" w:sz="0" w:space="0" w:color="auto"/>
                <w:bottom w:val="none" w:sz="0" w:space="0" w:color="auto"/>
                <w:right w:val="none" w:sz="0" w:space="0" w:color="auto"/>
              </w:divBdr>
            </w:div>
            <w:div w:id="1290628691">
              <w:marLeft w:val="0"/>
              <w:marRight w:val="0"/>
              <w:marTop w:val="0"/>
              <w:marBottom w:val="0"/>
              <w:divBdr>
                <w:top w:val="none" w:sz="0" w:space="0" w:color="auto"/>
                <w:left w:val="none" w:sz="0" w:space="0" w:color="auto"/>
                <w:bottom w:val="none" w:sz="0" w:space="0" w:color="auto"/>
                <w:right w:val="none" w:sz="0" w:space="0" w:color="auto"/>
              </w:divBdr>
            </w:div>
            <w:div w:id="4273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7805">
      <w:bodyDiv w:val="1"/>
      <w:marLeft w:val="0"/>
      <w:marRight w:val="0"/>
      <w:marTop w:val="0"/>
      <w:marBottom w:val="0"/>
      <w:divBdr>
        <w:top w:val="none" w:sz="0" w:space="0" w:color="auto"/>
        <w:left w:val="none" w:sz="0" w:space="0" w:color="auto"/>
        <w:bottom w:val="none" w:sz="0" w:space="0" w:color="auto"/>
        <w:right w:val="none" w:sz="0" w:space="0" w:color="auto"/>
      </w:divBdr>
      <w:divsChild>
        <w:div w:id="1275330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journals.plos.org/plosone/article?id=10.1371/journal.pone.0037627"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jpe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Emberger</dc:creator>
  <cp:keywords/>
  <dc:description/>
  <cp:lastModifiedBy>Melanie Emberger</cp:lastModifiedBy>
  <cp:revision>2</cp:revision>
  <dcterms:created xsi:type="dcterms:W3CDTF">2021-10-19T06:09:00Z</dcterms:created>
  <dcterms:modified xsi:type="dcterms:W3CDTF">2021-10-19T06:52:00Z</dcterms:modified>
</cp:coreProperties>
</file>